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«ВОДОЛЕЙ»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Юрия Васильевича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«ВОДОЛЕЙ»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Тихая</w:t>
      </w:r>
      <w:r>
        <w:rPr>
          <w:rFonts w:ascii="Times New Roman" w:eastAsia="Times New Roman" w:hAnsi="Times New Roman" w:cs="Times New Roman"/>
        </w:rPr>
        <w:t xml:space="preserve"> д.8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25.03.2026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«ВОДОЛЕЙ»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Ю.В.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«ВОДОЛЕЙ»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Мунтяну</w:t>
      </w:r>
      <w:r>
        <w:rPr>
          <w:rFonts w:ascii="Times New Roman" w:eastAsia="Times New Roman" w:hAnsi="Times New Roman" w:cs="Times New Roman"/>
        </w:rPr>
        <w:t xml:space="preserve"> Юрия Васильевича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79786000505260156632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408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